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5832"/>
        <w:gridCol w:w="80"/>
        <w:gridCol w:w="1545"/>
      </w:tblGrid>
      <w:tr w:rsidR="00C20E0F" w:rsidRPr="00C20E0F" w:rsidTr="00C20E0F">
        <w:trPr>
          <w:trHeight w:val="79"/>
          <w:jc w:val="center"/>
        </w:trPr>
        <w:tc>
          <w:tcPr>
            <w:tcW w:w="8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1045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한양신명조" w:eastAsia="한양신명조" w:hAnsi="한양신명조" w:cs="굴림"/>
                <w:color w:val="000000"/>
                <w:kern w:val="0"/>
                <w:sz w:val="8"/>
                <w:szCs w:val="20"/>
              </w:rPr>
            </w:pPr>
          </w:p>
        </w:tc>
      </w:tr>
      <w:tr w:rsidR="00C20E0F" w:rsidRPr="00C20E0F" w:rsidTr="00C20E0F">
        <w:trPr>
          <w:trHeight w:val="953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0CA566F9" wp14:editId="406C13CE">
                  <wp:extent cx="880745" cy="338455"/>
                  <wp:effectExtent l="0" t="0" r="0" b="4445"/>
                  <wp:docPr id="1" name="_x110044240" descr="EMB000023ac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0044240" descr="EMB000023ac3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CBNU Graduate Scholarship 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for Excellent Foreign Students 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헤드라인M" w:eastAsia="HY헤드라인M" w:hAnsi="HY헤드라인M" w:cs="굴림" w:hint="eastAsia"/>
                <w:b/>
                <w:bCs/>
                <w:color w:val="000000"/>
                <w:kern w:val="0"/>
                <w:sz w:val="34"/>
                <w:szCs w:val="34"/>
              </w:rPr>
              <w:t>Spring 2016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0029BED" wp14:editId="0F24BC86">
                  <wp:extent cx="846455" cy="406400"/>
                  <wp:effectExtent l="0" t="0" r="0" b="0"/>
                  <wp:docPr id="2" name="_x109821712" descr="EMB000023ac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09821712" descr="EMB000023ac3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E0F" w:rsidRPr="00C20E0F" w:rsidTr="00C20E0F">
        <w:trPr>
          <w:trHeight w:val="79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1A1A1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kern w:val="0"/>
                <w:sz w:val="8"/>
                <w:szCs w:val="20"/>
              </w:rPr>
            </w:pPr>
          </w:p>
        </w:tc>
        <w:tc>
          <w:tcPr>
            <w:tcW w:w="8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B1045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 w:val="2"/>
                <w:szCs w:val="2"/>
              </w:rPr>
              <w:t>1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79" w:lineRule="atLeas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</w:tbl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432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84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20E0F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0F0BD4F" wp14:editId="0E9B68C1">
            <wp:extent cx="169545" cy="177800"/>
            <wp:effectExtent l="0" t="0" r="1905" b="0"/>
            <wp:docPr id="3" name="_x109824032" descr="DRW000023ac3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824032" descr="DRW000023ac36c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Style w:val="Char0"/>
        </w:rPr>
        <w:t>Objectives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84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20E0F">
        <w:rPr>
          <w:rFonts w:ascii="HY나무B" w:eastAsia="HY나무B" w:hAnsi="HY나무B" w:cs="굴림" w:hint="eastAsia"/>
          <w:kern w:val="0"/>
          <w:sz w:val="28"/>
          <w:szCs w:val="28"/>
        </w:rPr>
        <w:t>○</w:t>
      </w:r>
      <w:r w:rsidRPr="00C20E0F">
        <w:rPr>
          <w:rFonts w:ascii="HCI Poppy" w:eastAsia="휴먼명조" w:hAnsi="HCI Poppy" w:cs="굴림"/>
          <w:kern w:val="0"/>
          <w:sz w:val="28"/>
          <w:szCs w:val="28"/>
        </w:rPr>
        <w:t xml:space="preserve"> </w:t>
      </w:r>
      <w:r w:rsidRPr="00C20E0F">
        <w:rPr>
          <w:rFonts w:ascii="HY나무B" w:eastAsia="HY나무B" w:hAnsi="HY나무B" w:cs="굴림" w:hint="eastAsia"/>
          <w:kern w:val="0"/>
          <w:sz w:val="28"/>
          <w:szCs w:val="28"/>
        </w:rPr>
        <w:t>To expand excellent foreign students through supporting scholarship.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84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C20E0F">
        <w:rPr>
          <w:rFonts w:ascii="HY나무B" w:eastAsia="HY나무B" w:hAnsi="HY나무B" w:cs="굴림" w:hint="eastAsia"/>
          <w:kern w:val="0"/>
          <w:sz w:val="28"/>
          <w:szCs w:val="28"/>
        </w:rPr>
        <w:t xml:space="preserve">○ To enhance of college competitiveness through attracting excellent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84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proofErr w:type="gramStart"/>
      <w:r w:rsidRPr="00C20E0F">
        <w:rPr>
          <w:rFonts w:ascii="HY나무B" w:eastAsia="HY나무B" w:hAnsi="HY나무B" w:cs="굴림" w:hint="eastAsia"/>
          <w:kern w:val="0"/>
          <w:sz w:val="28"/>
          <w:szCs w:val="28"/>
        </w:rPr>
        <w:t>foreign</w:t>
      </w:r>
      <w:proofErr w:type="gramEnd"/>
      <w:r w:rsidRPr="00C20E0F">
        <w:rPr>
          <w:rFonts w:ascii="HY나무B" w:eastAsia="HY나무B" w:hAnsi="HY나무B" w:cs="굴림" w:hint="eastAsia"/>
          <w:kern w:val="0"/>
          <w:sz w:val="28"/>
          <w:szCs w:val="28"/>
        </w:rPr>
        <w:t xml:space="preserve"> students from various countries.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480"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47D51FA4" wp14:editId="562BAFF7">
            <wp:extent cx="169545" cy="177800"/>
            <wp:effectExtent l="0" t="0" r="1905" b="0"/>
            <wp:docPr id="4" name="_x110063840" descr="DRW000023ac3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0063840" descr="DRW000023ac36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Scholarship Details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40" w:after="0" w:line="28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○</w:t>
      </w:r>
      <w:r w:rsidRPr="00C20E0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</w:rPr>
        <w:t xml:space="preserve"> 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The field of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selection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whole department (master, doctor)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40" w:after="0" w:line="28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Number of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Beneficiary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00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40" w:after="0" w:line="28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8"/>
          <w:szCs w:val="28"/>
        </w:rPr>
        <w:t xml:space="preserve">※ Priority on ODA Nations </w:t>
      </w:r>
      <w:proofErr w:type="gramStart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8"/>
          <w:szCs w:val="28"/>
        </w:rPr>
        <w:t xml:space="preserve">( 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East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, Southeast, and Central Asia, Africa, Central and South America, Eastern Europe)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40" w:after="0" w:line="28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1E8B91A4" wp14:editId="6B5F0788">
            <wp:extent cx="169545" cy="177800"/>
            <wp:effectExtent l="0" t="0" r="1905" b="0"/>
            <wp:docPr id="5" name="_x109943760" descr="DRW000023ac3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943760" descr="DRW000023ac36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Qualifications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6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○ The applicant and his/her parents must hold foreign citizenships.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※ Applicants who hold Korean citizenship are not permitted to apply for this program. </w:t>
      </w:r>
    </w:p>
    <w:p w:rsidR="00C20E0F" w:rsidRPr="004101C0" w:rsidRDefault="00C20E0F" w:rsidP="00C20E0F">
      <w:pPr>
        <w:widowControl/>
        <w:wordWrap/>
        <w:autoSpaceDE/>
        <w:autoSpaceDN/>
        <w:snapToGrid w:val="0"/>
        <w:spacing w:before="200" w:after="0" w:line="336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lastRenderedPageBreak/>
        <w:t xml:space="preserve">○ Applicants must hold a Bachelor's or Master's degree or will be scheduled to receive a Bachelor's or Master's degree by February 28, 2016.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60" w:lineRule="auto"/>
        <w:ind w:left="644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※ Master program </w:t>
      </w:r>
      <w:proofErr w:type="gramStart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>applicants :</w:t>
      </w:r>
      <w:proofErr w:type="gramEnd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 Hold a Bachelor’s degree or the equivalent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60" w:lineRule="auto"/>
        <w:ind w:left="644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proofErr w:type="spellStart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>Phd</w:t>
      </w:r>
      <w:proofErr w:type="spellEnd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 program </w:t>
      </w:r>
      <w:proofErr w:type="gramStart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>applicants :</w:t>
      </w:r>
      <w:proofErr w:type="gramEnd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 Hold a Master’s degree or the equivalent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60" w:lineRule="auto"/>
        <w:ind w:left="64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※ Applicants must be an expected recipient of a Bachelor’s or Master’s degree as of February 28, 2016. (Applicant eligibility will be rescinded if applicant fails to obtain the appropriate degree by February 28, 2016.)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00" w:after="0" w:line="31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○</w:t>
      </w:r>
      <w:r w:rsidRPr="00C20E0F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 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Must possess above 80% (out of 100%) cumulative grade point average or equivalent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(See Attached Appendix)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6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>※ If the transcript is difficult to convert into percentages, attachment of official explanation from the attended institution is required. (</w:t>
      </w:r>
      <w:proofErr w:type="gramStart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>must</w:t>
      </w:r>
      <w:proofErr w:type="gramEnd"/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4"/>
          <w:szCs w:val="24"/>
        </w:rPr>
        <w:t xml:space="preserve"> be within the top 20% (out of 100%) in rank in his/her college.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00"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1DC01607" wp14:editId="6D19CC1A">
            <wp:extent cx="169545" cy="177800"/>
            <wp:effectExtent l="0" t="0" r="1905" b="0"/>
            <wp:docPr id="6" name="_x109861072" descr="DRW000023ac3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861072" descr="DRW000023ac36d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Selection Criteria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20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Times New Roman" w:eastAsia="휴먼명조" w:hAnsi="Times New Roman" w:cs="굴림" w:hint="eastAsia"/>
          <w:color w:val="000000"/>
          <w:kern w:val="0"/>
          <w:sz w:val="28"/>
          <w:szCs w:val="28"/>
        </w:rPr>
        <w:t>○</w:t>
      </w:r>
      <w:r w:rsidRPr="00C20E0F">
        <w:rPr>
          <w:rFonts w:ascii="Times New Roman" w:eastAsia="휴먼명조" w:hAnsi="Times New Roman" w:cs="굴림" w:hint="eastAsia"/>
          <w:color w:val="000000"/>
          <w:kern w:val="0"/>
          <w:sz w:val="28"/>
          <w:szCs w:val="28"/>
        </w:rPr>
        <w:t xml:space="preserve"> 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Evaluation will be based on the submitted documents including undergraduate transcript or graduate transcript (if applicable), personal statement, study plan, a recommendation letter from a professor of his/her university, a written opinion from CBNU academic advisor, and TOPIK or TOEFL, TOEIC, IELTS score (if applicable).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Times New Roman" w:eastAsia="휴먼명조" w:hAnsi="Times New Roman" w:cs="굴림" w:hint="eastAsia"/>
          <w:color w:val="000000"/>
          <w:kern w:val="0"/>
          <w:sz w:val="28"/>
          <w:szCs w:val="28"/>
        </w:rPr>
        <w:t>○</w:t>
      </w:r>
      <w:r w:rsidRPr="00C20E0F">
        <w:rPr>
          <w:rFonts w:ascii="휴먼명조" w:eastAsia="휴먼명조" w:hAnsi="휴먼명조" w:cs="굴림" w:hint="eastAsia"/>
          <w:color w:val="000000"/>
          <w:kern w:val="0"/>
          <w:sz w:val="28"/>
          <w:szCs w:val="28"/>
        </w:rPr>
        <w:t xml:space="preserve"> </w:t>
      </w:r>
      <w:r w:rsidRPr="00C20E0F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 xml:space="preserve">Evaluation </w:t>
      </w:r>
      <w:proofErr w:type="gramStart"/>
      <w:r w:rsidRPr="00C20E0F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Criteria :</w:t>
      </w:r>
      <w:proofErr w:type="gramEnd"/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Evaluation will be based on the submitted documents including the </w:t>
      </w:r>
      <w:proofErr w:type="spell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self introduction</w:t>
      </w:r>
      <w:proofErr w:type="spell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essay, study plan, recommendation letters, transcript and any other additional supplementary materials. Based on the documents submitted, applicant’s academic ability, 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lastRenderedPageBreak/>
        <w:t>language ability, aspirations for study abroad, potential societal contribution, and anticipated contribution towards the relationship between the two countries will be evaluated for the purposes of selection.</w:t>
      </w:r>
    </w:p>
    <w:tbl>
      <w:tblPr>
        <w:tblW w:w="0" w:type="auto"/>
        <w:tblInd w:w="7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3"/>
        <w:gridCol w:w="1516"/>
      </w:tblGrid>
      <w:tr w:rsidR="00C20E0F" w:rsidRPr="00C20E0F" w:rsidTr="00C20E0F">
        <w:trPr>
          <w:trHeight w:val="466"/>
        </w:trPr>
        <w:tc>
          <w:tcPr>
            <w:tcW w:w="75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7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b/>
                <w:bCs/>
                <w:color w:val="000000"/>
                <w:kern w:val="0"/>
                <w:sz w:val="28"/>
                <w:szCs w:val="28"/>
              </w:rPr>
              <w:t>Evaluation Criteria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b/>
                <w:bCs/>
                <w:color w:val="000000"/>
                <w:kern w:val="0"/>
                <w:sz w:val="24"/>
                <w:szCs w:val="24"/>
              </w:rPr>
              <w:t>Score</w:t>
            </w:r>
          </w:p>
        </w:tc>
      </w:tr>
      <w:tr w:rsidR="00C20E0F" w:rsidRPr="00C20E0F" w:rsidTr="00C20E0F">
        <w:trPr>
          <w:trHeight w:val="570"/>
        </w:trPr>
        <w:tc>
          <w:tcPr>
            <w:tcW w:w="75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BA and MA transcripts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50 points</w:t>
            </w:r>
          </w:p>
        </w:tc>
      </w:tr>
      <w:tr w:rsidR="00C20E0F" w:rsidRPr="00C20E0F" w:rsidTr="00C20E0F">
        <w:trPr>
          <w:trHeight w:val="608"/>
        </w:trPr>
        <w:tc>
          <w:tcPr>
            <w:tcW w:w="75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 xml:space="preserve">Personal statement, study plan, a letter of reference, evaluation by a potential academic advisor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40 points</w:t>
            </w:r>
          </w:p>
        </w:tc>
      </w:tr>
      <w:tr w:rsidR="00C20E0F" w:rsidRPr="00C20E0F" w:rsidTr="00C20E0F">
        <w:trPr>
          <w:trHeight w:val="570"/>
        </w:trPr>
        <w:tc>
          <w:tcPr>
            <w:tcW w:w="75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Language proficiency (</w:t>
            </w: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8"/>
                <w:szCs w:val="28"/>
              </w:rPr>
              <w:t>TOPIK or TOEFL, TOEIC, IELTS score)</w:t>
            </w: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10 points</w:t>
            </w:r>
          </w:p>
        </w:tc>
      </w:tr>
      <w:tr w:rsidR="00C20E0F" w:rsidRPr="00C20E0F" w:rsidTr="00C20E0F">
        <w:trPr>
          <w:trHeight w:val="534"/>
        </w:trPr>
        <w:tc>
          <w:tcPr>
            <w:tcW w:w="75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HY나무B" w:eastAsia="HY나무B" w:hAnsi="HY나무B" w:cs="굴림" w:hint="eastAsia"/>
                <w:color w:val="000000"/>
                <w:kern w:val="0"/>
                <w:sz w:val="24"/>
                <w:szCs w:val="24"/>
              </w:rPr>
              <w:t>100 points</w:t>
            </w:r>
          </w:p>
        </w:tc>
      </w:tr>
    </w:tbl>
    <w:p w:rsidR="00C20E0F" w:rsidRPr="00C20E0F" w:rsidRDefault="00C20E0F" w:rsidP="00C20E0F">
      <w:pPr>
        <w:widowControl/>
        <w:wordWrap/>
        <w:autoSpaceDE/>
        <w:autoSpaceDN/>
        <w:snapToGrid w:val="0"/>
        <w:spacing w:before="200"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3D09AAFD" wp14:editId="36F17EC8">
            <wp:extent cx="169545" cy="177800"/>
            <wp:effectExtent l="0" t="0" r="1905" b="0"/>
            <wp:docPr id="7" name="_x110091792" descr="DRW000023ac3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0091792" descr="DRW000023ac36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Scholarship Payment Details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○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Subject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Applicants who </w:t>
      </w:r>
      <w:proofErr w:type="spell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posses</w:t>
      </w:r>
      <w:proofErr w:type="spell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above 80% (out of 100%) cumulative grade point average in admission quota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Scholarship Payment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Period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2 years (4 semesters)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○ Payment Details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- Number of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Beneficiary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27 scholars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- Total Amount of Scholarship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Payment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100,000,000 won (KRW)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b/>
          <w:bCs/>
          <w:color w:val="000000"/>
          <w:kern w:val="0"/>
          <w:sz w:val="28"/>
          <w:szCs w:val="28"/>
        </w:rPr>
        <w:t>※</w:t>
      </w: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3,600,000 won (KRW) per person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- Full Tuition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fees(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Inc. application fee) : 2,300,000 won (KRW)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(Paid by Office of Student Affairs)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Accommodation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1,300,000 won (KRW)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lastRenderedPageBreak/>
        <w:t xml:space="preserve">(Paid by Office of International Services)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- Payment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Details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Full tuition fees (</w:t>
      </w:r>
      <w:proofErr w:type="spell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Inc.application</w:t>
      </w:r>
      <w:proofErr w:type="spell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fee) + Accommodation 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160" w:after="0" w:line="372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r w:rsidRPr="00C20E0F">
        <w:rPr>
          <w:rFonts w:ascii="HY나무B" w:eastAsia="HY나무B" w:hAnsi="HY나무B" w:cs="굴림" w:hint="eastAsia"/>
          <w:color w:val="000000"/>
          <w:kern w:val="0"/>
          <w:sz w:val="24"/>
          <w:szCs w:val="24"/>
        </w:rPr>
        <w:t>If his/her academic advisor requires to stop scholarship payment, he/she will be disqualified to receive a scholarship.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00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236D0FA6" wp14:editId="29FE05CF">
            <wp:extent cx="169545" cy="177800"/>
            <wp:effectExtent l="0" t="0" r="1905" b="0"/>
            <wp:docPr id="8" name="_x109915808" descr="DRW000023ac3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915808" descr="DRW000023ac36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Required Documents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4538"/>
      </w:tblGrid>
      <w:tr w:rsidR="00C20E0F" w:rsidRPr="00C20E0F" w:rsidTr="00C20E0F">
        <w:trPr>
          <w:trHeight w:val="826"/>
        </w:trPr>
        <w:tc>
          <w:tcPr>
            <w:tcW w:w="10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Application form[passport photo(3cm×4 cm) taken within the last three months]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Download from the University Homepage</w:t>
            </w:r>
          </w:p>
        </w:tc>
      </w:tr>
      <w:tr w:rsidR="00C20E0F" w:rsidRPr="00C20E0F" w:rsidTr="00C20E0F">
        <w:trPr>
          <w:trHeight w:val="826"/>
        </w:trPr>
        <w:tc>
          <w:tcPr>
            <w:tcW w:w="10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 personal statement and academic objectives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Download from the University Homepage</w:t>
            </w:r>
          </w:p>
        </w:tc>
      </w:tr>
      <w:tr w:rsidR="00C20E0F" w:rsidRPr="00C20E0F" w:rsidTr="00C20E0F">
        <w:trPr>
          <w:trHeight w:val="559"/>
        </w:trPr>
        <w:tc>
          <w:tcPr>
            <w:tcW w:w="10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Academic record check consent form(Letter of Consent)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Download from the University Homepage</w:t>
            </w:r>
          </w:p>
        </w:tc>
      </w:tr>
      <w:tr w:rsidR="00C20E0F" w:rsidRPr="00C20E0F" w:rsidTr="00C20E0F">
        <w:trPr>
          <w:trHeight w:val="1996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Times New Roman" w:cs="굴림" w:hint="eastAsia"/>
                <w:color w:val="000000"/>
                <w:kern w:val="0"/>
                <w:sz w:val="26"/>
                <w:szCs w:val="26"/>
              </w:rPr>
              <w:t>&lt;Master's Applicants&gt;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An original diploma(or certificate of graduation) or proof of pending diploma(or proof of expected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graduation)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Times New Roman" w:cs="굴림" w:hint="eastAsia"/>
                <w:color w:val="000000"/>
                <w:kern w:val="0"/>
                <w:szCs w:val="20"/>
              </w:rPr>
              <w:t xml:space="preserve">※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Applicants who expect to receive a degree outside of Korea should submit Certificate of Graduation(or Bachelor's degree certificate) to the Office of International Services after admission.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&lt;</w:t>
            </w:r>
            <w:r w:rsidRPr="00C20E0F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Doctoral Applicants</w:t>
            </w: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▪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An original diploma(or certificate of graduation) or proof of pending diploma(or proof of expected graduation)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Times New Roman" w:cs="굴림" w:hint="eastAsia"/>
                <w:color w:val="000000"/>
                <w:kern w:val="0"/>
                <w:szCs w:val="20"/>
              </w:rPr>
              <w:t xml:space="preserve">※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Applicants who expect to receive a degree outside of Korea should submit Certificate of Graduation(or Master's degree certificate) to the Office of International Services after admission.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20E0F" w:rsidRPr="00C20E0F" w:rsidTr="00C20E0F">
        <w:trPr>
          <w:trHeight w:val="1996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Times New Roman" w:cs="굴림" w:hint="eastAsia"/>
                <w:color w:val="000000"/>
                <w:kern w:val="0"/>
                <w:sz w:val="26"/>
                <w:szCs w:val="26"/>
              </w:rPr>
              <w:t>&lt;Master's Applicants&gt;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An original copy of official university transcripts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※ Applicants who expect to receive a degree should hand in the transcript of the previous semester.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lastRenderedPageBreak/>
              <w:t>※ Transferring applicants should submit a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transcript from the university previously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attended</w:t>
            </w:r>
            <w:proofErr w:type="gramEnd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lastRenderedPageBreak/>
              <w:t>&lt;</w:t>
            </w:r>
            <w:r w:rsidRPr="00C20E0F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Doctoral Applicants</w:t>
            </w: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An original copy of official Master’s course transcripts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※ Applicants who expect to receive a degree should hand in the transcript of the previous semester.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lastRenderedPageBreak/>
              <w:t>※ Transferring applicants should submit a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transcript from the Master’s course previously attended.</w:t>
            </w:r>
          </w:p>
        </w:tc>
      </w:tr>
      <w:tr w:rsidR="00C20E0F" w:rsidRPr="00C20E0F" w:rsidTr="00C20E0F">
        <w:trPr>
          <w:trHeight w:val="1892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Times New Roman" w:cs="굴림" w:hint="eastAsia"/>
                <w:color w:val="000000"/>
                <w:kern w:val="0"/>
                <w:sz w:val="26"/>
                <w:szCs w:val="26"/>
              </w:rPr>
              <w:lastRenderedPageBreak/>
              <w:t>&lt;Master's Applicants&gt;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맑은 고딕" w:hAnsi="한양신명조" w:cs="굴림" w:hint="eastAsia"/>
                <w:color w:val="000000"/>
                <w:kern w:val="0"/>
                <w:szCs w:val="20"/>
              </w:rPr>
              <w:t xml:space="preserve">A letter of recommendation of professors from prior university of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Bachelor’s degree.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 CBNU Prospective Academic Advisor's(or Senior Professor's) Recommendation.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※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The CBNU prospective academic adviser(or the senior professor) will write out an opinion, and the applicant will receive and submit the written opinion.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&lt;</w:t>
            </w:r>
            <w:r w:rsidRPr="00C20E0F">
              <w:rPr>
                <w:rFonts w:ascii="한양신명조" w:eastAsia="한양신명조" w:hAnsi="한양신명조" w:cs="굴림" w:hint="eastAsia"/>
                <w:b/>
                <w:bCs/>
                <w:color w:val="000000"/>
                <w:kern w:val="0"/>
                <w:sz w:val="26"/>
                <w:szCs w:val="26"/>
              </w:rPr>
              <w:t>Doctoral Applicants</w:t>
            </w: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Cs w:val="20"/>
              </w:rPr>
              <w:t>&gt;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 letter of recommendation of professors from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prior university Master’s course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 CBNU Prospective Academic Advisor's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(or Senior Professor's) Recommendation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※ The CBNU prospective academic adviser(or the senior professor) will write out an opinion, and the applicant will receive and submit the written opinion.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20E0F" w:rsidRPr="00C20E0F" w:rsidTr="00C20E0F">
        <w:trPr>
          <w:trHeight w:val="2699"/>
        </w:trPr>
        <w:tc>
          <w:tcPr>
            <w:tcW w:w="10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Passport holders should submit a copy of their passports.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 copy of the applicant's and parents' proof of nationality. (This should show the relationship between the applicant and parents.)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If the applicant's parents are deceased, divorced, or absent for any other reason, notarized proof of this is required.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※ Alien Registration Card holders should hand in the card this will be returned after it is confirmed to be genuine. (only applicable to some applicants</w:t>
            </w:r>
            <w:r w:rsidRPr="00C20E0F">
              <w:rPr>
                <w:rFonts w:ascii="한양신명조" w:eastAsia="한양신명조" w:hAnsi="한양신명조" w:cs="굴림" w:hint="eastAsia"/>
                <w:color w:val="0000FF"/>
                <w:kern w:val="0"/>
                <w:szCs w:val="20"/>
              </w:rPr>
              <w:t>)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A person who </w:t>
            </w:r>
            <w:proofErr w:type="gramStart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does not have a valid passport should be issued</w:t>
            </w:r>
            <w:proofErr w:type="gramEnd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a passport by the VISA application, then submit a copy of the passport.</w:t>
            </w:r>
            <w:r w:rsidRPr="00C20E0F">
              <w:rPr>
                <w:rFonts w:ascii="한양신명조" w:eastAsia="한양신명조" w:hAnsi="한양신명조" w:cs="굴림" w:hint="eastAsia"/>
                <w:color w:val="0000FF"/>
                <w:kern w:val="0"/>
                <w:szCs w:val="20"/>
              </w:rPr>
              <w:t xml:space="preserve"> 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0"/>
              <w:rPr>
                <w:rFonts w:ascii="바탕" w:eastAsia="바탕" w:hAnsi="Times New Roman" w:cs="굴림"/>
                <w:color w:val="000000"/>
                <w:kern w:val="0"/>
                <w:sz w:val="24"/>
                <w:szCs w:val="24"/>
              </w:rPr>
            </w:pPr>
            <w:r w:rsidRPr="00C20E0F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>▪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All official documents not in English or in Korean must be translated into English or Korean and notarized Nationality[including certificate of family relation] certificate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0" w:lineRule="atLeas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documents have to be issued in a governmental organization of the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ind w:left="4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relevant country and issued within 3 months from the application 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0" w:lineRule="atLeas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proofErr w:type="gramStart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deadline</w:t>
            </w:r>
            <w:proofErr w:type="gramEnd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12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20E0F" w:rsidRPr="00C20E0F" w:rsidTr="00C20E0F">
        <w:trPr>
          <w:trHeight w:val="1372"/>
        </w:trPr>
        <w:tc>
          <w:tcPr>
            <w:tcW w:w="10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lastRenderedPageBreak/>
              <w:t>·Applicable to certificate holders only. (※A person who does not have the language ability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29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certification</w:t>
            </w:r>
            <w:proofErr w:type="gramEnd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 should submit TOPIK or higher before graduation). 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FF"/>
                <w:kern w:val="0"/>
                <w:szCs w:val="20"/>
              </w:rPr>
              <w:t>·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All the submitted language certificate should be</w:t>
            </w:r>
            <w:r w:rsidRPr="00C20E0F">
              <w:rPr>
                <w:rFonts w:ascii="한양신명조" w:eastAsia="한양신명조" w:hAnsi="한양신명조" w:cs="굴림" w:hint="eastAsia"/>
                <w:color w:val="0000FF"/>
                <w:kern w:val="0"/>
                <w:szCs w:val="20"/>
              </w:rPr>
              <w:t xml:space="preserve"> </w:t>
            </w: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valid on the application date.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ind w:left="9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· A copy of the Korean Proficiency Test (TOPIK) Transcript or CBNU's Korean Proficiency Test Transcript that is Level 4 or higher</w:t>
            </w:r>
          </w:p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· A copy of the English Proficiency Test (TOEFL PBT, TOEFL CBT, TOEFL </w:t>
            </w:r>
            <w:proofErr w:type="spellStart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iBT</w:t>
            </w:r>
            <w:proofErr w:type="spellEnd"/>
            <w:r w:rsidRPr="00C20E0F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, TEPS, IELTS, TOEIC) transcript.</w:t>
            </w:r>
          </w:p>
        </w:tc>
      </w:tr>
    </w:tbl>
    <w:p w:rsid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HY헤드라인M" w:eastAsia="HY헤드라인M" w:hAnsi="HY헤드라인M" w:cs="굴림"/>
          <w:b/>
          <w:bCs/>
          <w:color w:val="000000"/>
          <w:kern w:val="0"/>
          <w:sz w:val="30"/>
          <w:szCs w:val="3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한양신명조" w:eastAsia="한양신명조" w:hAnsi="한양신명조" w:cs="굴림"/>
          <w:noProof/>
          <w:color w:val="000000"/>
          <w:kern w:val="0"/>
          <w:szCs w:val="20"/>
        </w:rPr>
        <w:drawing>
          <wp:inline distT="0" distB="0" distL="0" distR="0" wp14:anchorId="3C48D6AF" wp14:editId="5160DD53">
            <wp:extent cx="169545" cy="177800"/>
            <wp:effectExtent l="0" t="0" r="1905" b="0"/>
            <wp:docPr id="9" name="_x109792368" descr="DRW000023ac3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792368" descr="DRW000023ac36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E0F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0"/>
          <w:szCs w:val="30"/>
        </w:rPr>
        <w:t>Application Timeline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line="348" w:lineRule="auto"/>
        <w:ind w:left="-568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Announcement of Scholarship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Information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Oct. 12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.(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Mon.) ~ Oct. 23.(Fri.)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line="348" w:lineRule="auto"/>
        <w:ind w:left="-568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Application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Submission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Oct. 26(Mon.) ~ Oct. 30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.(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Fri.)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line="348" w:lineRule="auto"/>
        <w:ind w:left="-568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Selection and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Notification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In November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line="348" w:lineRule="auto"/>
        <w:ind w:left="-568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Final Selection by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CBNU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Prior to Jan. 6(Wed.), 2016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line="348" w:lineRule="auto"/>
        <w:ind w:left="-568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○ Period of Visa </w:t>
      </w:r>
      <w:proofErr w:type="gramStart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>Issuance :</w:t>
      </w:r>
      <w:proofErr w:type="gramEnd"/>
      <w:r w:rsidRPr="00C20E0F">
        <w:rPr>
          <w:rFonts w:ascii="HY나무B" w:eastAsia="HY나무B" w:hAnsi="HY나무B" w:cs="굴림" w:hint="eastAsia"/>
          <w:color w:val="000000"/>
          <w:kern w:val="0"/>
          <w:sz w:val="28"/>
          <w:szCs w:val="28"/>
        </w:rPr>
        <w:t xml:space="preserve"> Jan. 20(Wed.), 2016 ~ Feb. 20(Wed), 2016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273" w:lineRule="auto"/>
        <w:ind w:left="840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273" w:lineRule="auto"/>
        <w:ind w:left="840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273" w:lineRule="auto"/>
        <w:ind w:left="840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31" w:lineRule="auto"/>
        <w:ind w:left="35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12" w:lineRule="auto"/>
        <w:ind w:left="312"/>
        <w:rPr>
          <w:rFonts w:ascii="한양신명조" w:eastAsia="한양신명조" w:hAnsi="한양신명조" w:cs="굴림"/>
          <w:color w:val="000000"/>
          <w:kern w:val="0"/>
          <w:szCs w:val="20"/>
        </w:rPr>
      </w:pP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36" w:lineRule="auto"/>
        <w:ind w:right="400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C20E0F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&lt;Appendix&gt;</w:t>
      </w:r>
    </w:p>
    <w:p w:rsidR="00C20E0F" w:rsidRPr="00C20E0F" w:rsidRDefault="00C20E0F" w:rsidP="00C20E0F">
      <w:pPr>
        <w:widowControl/>
        <w:wordWrap/>
        <w:autoSpaceDE/>
        <w:autoSpaceDN/>
        <w:snapToGrid w:val="0"/>
        <w:spacing w:before="80" w:after="80" w:line="336" w:lineRule="auto"/>
        <w:ind w:right="400"/>
        <w:rPr>
          <w:rFonts w:ascii="한양신명조" w:eastAsia="한양신명조" w:hAnsi="한양신명조" w:cs="굴림"/>
          <w:color w:val="000000"/>
          <w:kern w:val="0"/>
          <w:sz w:val="36"/>
          <w:szCs w:val="36"/>
        </w:rPr>
      </w:pPr>
      <w:r w:rsidRPr="00C20E0F">
        <w:rPr>
          <w:rFonts w:ascii="Times New Roman" w:eastAsia="굴림" w:hAnsi="Times New Roman" w:cs="Times New Roman"/>
          <w:b/>
          <w:bCs/>
          <w:color w:val="000000"/>
          <w:kern w:val="0"/>
          <w:sz w:val="36"/>
          <w:szCs w:val="36"/>
        </w:rPr>
        <w:t xml:space="preserve">The final conversion table a percentage of school </w:t>
      </w:r>
      <w:proofErr w:type="spellStart"/>
      <w:proofErr w:type="gramStart"/>
      <w:r w:rsidRPr="00C20E0F">
        <w:rPr>
          <w:rFonts w:ascii="Times New Roman" w:eastAsia="굴림" w:hAnsi="Times New Roman" w:cs="Times New Roman"/>
          <w:b/>
          <w:bCs/>
          <w:color w:val="000000"/>
          <w:kern w:val="0"/>
          <w:sz w:val="36"/>
          <w:szCs w:val="36"/>
        </w:rPr>
        <w:t>gpa</w:t>
      </w:r>
      <w:proofErr w:type="spellEnd"/>
      <w:proofErr w:type="gramEnd"/>
    </w:p>
    <w:p w:rsidR="00C20E0F" w:rsidRPr="00C20E0F" w:rsidRDefault="00C20E0F" w:rsidP="00C20E0F">
      <w:pPr>
        <w:widowControl/>
        <w:wordWrap/>
        <w:autoSpaceDE/>
        <w:autoSpaceDN/>
        <w:snapToGrid w:val="0"/>
        <w:spacing w:after="0" w:line="384" w:lineRule="auto"/>
        <w:jc w:val="center"/>
        <w:rPr>
          <w:rFonts w:ascii="맑은 고딕" w:eastAsia="맑은 고딕" w:hAnsi="맑은 고딕" w:cs="굴림"/>
          <w:color w:val="000000"/>
          <w:kern w:val="0"/>
          <w:sz w:val="28"/>
          <w:szCs w:val="28"/>
        </w:rPr>
      </w:pPr>
      <w:r w:rsidRPr="00C20E0F">
        <w:rPr>
          <w:rFonts w:ascii="Arial" w:eastAsia="HY헤드라인M" w:hAnsi="Arial" w:cs="Arial"/>
          <w:color w:val="0000FF"/>
          <w:kern w:val="0"/>
          <w:sz w:val="28"/>
          <w:szCs w:val="28"/>
        </w:rPr>
        <w:t>C.G.P.A. Conversion Table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815"/>
        <w:gridCol w:w="1815"/>
        <w:gridCol w:w="1812"/>
        <w:gridCol w:w="1824"/>
      </w:tblGrid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4.0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4.3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4.5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5.0 Scale</w:t>
            </w:r>
          </w:p>
        </w:tc>
        <w:tc>
          <w:tcPr>
            <w:tcW w:w="19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100 Points Scale</w:t>
            </w:r>
          </w:p>
        </w:tc>
      </w:tr>
      <w:tr w:rsidR="00C20E0F" w:rsidRPr="00C20E0F" w:rsidTr="00C20E0F">
        <w:trPr>
          <w:trHeight w:val="423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3.97 ~ 4.0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4.26 ~ 4.3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4.46 ~ 4.5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4.95 ~ 5.00</w:t>
            </w:r>
          </w:p>
        </w:tc>
        <w:tc>
          <w:tcPr>
            <w:tcW w:w="1919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</w:t>
            </w:r>
          </w:p>
        </w:tc>
      </w:tr>
      <w:tr w:rsidR="00C20E0F" w:rsidRPr="00C20E0F" w:rsidTr="00C20E0F">
        <w:trPr>
          <w:trHeight w:val="23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3.92 ~ 3.96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4.22 ~ 4.25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4.41 ~ 4.45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4.90 ~ 4.94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99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3.88 ~ 3.91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4.17 ~ 4.21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4.36 ~ 4.40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4.84 ~ 4.89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98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3.84 ~ 3.87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4.12 ~ 4.16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4.31 ~ 4.35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4.79 ~ 4.83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97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3.80 ~ 3.83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4.08 ~ 4.11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4.26 ~ 4.30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4.73 ~ 4.78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96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3.75 ~ 3.79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4.03 ~ 4.07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4.21 ~ 4.25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4.68 ~ 4.72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95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3.71 ~ 3.74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3.98 ~ 4.02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4.16 ~ 4.20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4.62 ~ 4.67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94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3.67 ~ 3.70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3.93 ~ 3.97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4.11 ~ 4.15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4.57 ~ 4.61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93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3.62 ~ 3.66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3.89 ~ 3.92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4.06 ~ 4.10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4.51 ~ 4.56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92</w:t>
            </w:r>
          </w:p>
        </w:tc>
      </w:tr>
      <w:tr w:rsidR="00C20E0F" w:rsidRPr="00C20E0F" w:rsidTr="00C20E0F">
        <w:trPr>
          <w:trHeight w:val="502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3.58 ~ 3.61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3.84 ~ 3.88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4.01 ~ 4.05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4.45 ~ 4.50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91</w:t>
            </w:r>
          </w:p>
        </w:tc>
      </w:tr>
      <w:tr w:rsidR="00C20E0F" w:rsidRPr="00C20E0F" w:rsidTr="00C20E0F">
        <w:trPr>
          <w:trHeight w:val="373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3.49 ~ 3.57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3.75 ~ 3.83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3.91 ~ 4.00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4.34 ~ 4.44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90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3.41 ~ 3.48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3.65 ~ 3.74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3.81 ~ 3.90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4.23 ~ 4.33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89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3.32 ~ 3.40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3.56 ~ 3.64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3.71 ~ 3.80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4.12 ~ 4.22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88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3.24 ~ 3.31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3.46 ~ 3.55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3.61 ~ 3.70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4.01 ~ 4.11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87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3.15 ~ 3.23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3.37 ~ 3.45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3.51 ~ 3.60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3.90 ~ 4.00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86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3.07 ~ 3.14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3.27 ~ 3.36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3.41 ~ 3.50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3.79 ~ 3.89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85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2.98 ~ 3.06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3.18 ~ 3.26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3.31 ~ 3.40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3.68 ~ 3.78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84</w:t>
            </w:r>
          </w:p>
        </w:tc>
      </w:tr>
      <w:tr w:rsidR="00C20E0F" w:rsidRPr="00C20E0F" w:rsidTr="00C20E0F">
        <w:trPr>
          <w:trHeight w:val="501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2.90 ~ 2.97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3.09 ~ 3.17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3.21 ~ 3.30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3.57 ~ 3.67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83</w:t>
            </w:r>
          </w:p>
        </w:tc>
      </w:tr>
      <w:tr w:rsidR="00C20E0F" w:rsidRPr="00C20E0F" w:rsidTr="00C20E0F">
        <w:trPr>
          <w:trHeight w:val="225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2.81 ~ 2.89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2.99 ~ 3.08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3.11 ~ 3.20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3.45 ~ 3.56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82</w:t>
            </w:r>
          </w:p>
        </w:tc>
      </w:tr>
      <w:tr w:rsidR="00C20E0F" w:rsidRPr="00C20E0F" w:rsidTr="004101C0">
        <w:trPr>
          <w:trHeight w:val="35"/>
          <w:jc w:val="center"/>
        </w:trPr>
        <w:tc>
          <w:tcPr>
            <w:tcW w:w="191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2.72 ~ 2.80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2.90 ~ 2.98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3.01 ~ 3.10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3.34 ~ 3.44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81</w:t>
            </w:r>
          </w:p>
        </w:tc>
      </w:tr>
      <w:tr w:rsidR="00C20E0F" w:rsidRPr="00C20E0F" w:rsidTr="004101C0">
        <w:trPr>
          <w:trHeight w:val="35"/>
          <w:jc w:val="center"/>
        </w:trPr>
        <w:tc>
          <w:tcPr>
            <w:tcW w:w="1919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2.64 ~</w:t>
            </w:r>
            <w:bookmarkStart w:id="0" w:name="_GoBack"/>
            <w:bookmarkEnd w:id="0"/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2.71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2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2.80 ~ 2.89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2.91 ~ 3.00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3.23 ~ 3.33</w:t>
            </w:r>
          </w:p>
        </w:tc>
        <w:tc>
          <w:tcPr>
            <w:tcW w:w="191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0E0F" w:rsidRPr="00C20E0F" w:rsidRDefault="00C20E0F" w:rsidP="00C20E0F">
            <w:pPr>
              <w:widowControl/>
              <w:wordWrap/>
              <w:autoSpaceDE/>
              <w:autoSpaceDN/>
              <w:snapToGrid w:val="0"/>
              <w:spacing w:after="0" w:line="32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0E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80</w:t>
            </w:r>
          </w:p>
        </w:tc>
      </w:tr>
    </w:tbl>
    <w:p w:rsidR="008D40F2" w:rsidRDefault="008D40F2"/>
    <w:sectPr w:rsidR="008D40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나무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F"/>
    <w:rsid w:val="004101C0"/>
    <w:rsid w:val="008D40F2"/>
    <w:rsid w:val="00C20E0F"/>
    <w:rsid w:val="00E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E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0E0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C20E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4"/>
    <w:uiPriority w:val="10"/>
    <w:rsid w:val="00C20E0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E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0E0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C20E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4"/>
    <w:uiPriority w:val="10"/>
    <w:rsid w:val="00C20E0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2015-10-13T06:54:00Z</dcterms:created>
  <dcterms:modified xsi:type="dcterms:W3CDTF">2015-10-13T07:01:00Z</dcterms:modified>
</cp:coreProperties>
</file>